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8431A9" w14:paraId="2FBBCB1D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DD08C02" w14:textId="6B73C330" w:rsidR="00A51231" w:rsidRPr="008431A9" w:rsidRDefault="00694305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D7E940" wp14:editId="224C7D68">
                  <wp:extent cx="1471295" cy="1271905"/>
                  <wp:effectExtent l="0" t="0" r="0" b="4445"/>
                  <wp:docPr id="1" name="Picture 1" title="CoRLogo_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2498003F" w14:textId="77777777" w:rsidR="00A51231" w:rsidRPr="008431A9" w:rsidRDefault="00A51231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764E2A5B" w14:textId="77777777" w:rsidR="00A51231" w:rsidRPr="00575173" w:rsidRDefault="00A51231" w:rsidP="00B5338E">
            <w:pPr>
              <w:pStyle w:val="pressreleas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Komunikat prasowy</w:t>
            </w:r>
          </w:p>
        </w:tc>
      </w:tr>
      <w:tr w:rsidR="00A51231" w:rsidRPr="008431A9" w14:paraId="3B0EE06C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26BDA4C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4253" w:type="dxa"/>
            <w:vMerge/>
          </w:tcPr>
          <w:p w14:paraId="0EA26962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3837" w:type="dxa"/>
            <w:vAlign w:val="center"/>
          </w:tcPr>
          <w:p w14:paraId="07B18AEE" w14:textId="77777777" w:rsidR="00A51231" w:rsidRDefault="00A51231" w:rsidP="00E156F3">
            <w:pPr>
              <w:pStyle w:val="Date1"/>
            </w:pPr>
          </w:p>
          <w:p w14:paraId="412B7406" w14:textId="3B25B5B9" w:rsidR="00A51231" w:rsidRPr="00575173" w:rsidRDefault="00A51231" w:rsidP="00932C1B">
            <w:pPr>
              <w:pStyle w:val="Date1"/>
              <w:rPr>
                <w:sz w:val="56"/>
                <w:szCs w:val="56"/>
              </w:rPr>
            </w:pPr>
            <w:r>
              <w:t xml:space="preserve">CoR/19/HGL06.pl </w:t>
            </w:r>
            <w:r>
              <w:br/>
              <w:t>Bruksela, 9 kwietnia 2019 r.</w:t>
            </w:r>
          </w:p>
        </w:tc>
      </w:tr>
    </w:tbl>
    <w:p w14:paraId="44C46BB2" w14:textId="77777777" w:rsidR="00EC18F0" w:rsidRPr="008431A9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8431A9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3E646B0C" w14:textId="3C3F6ADE" w:rsidR="003A0C24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Europejski Komitet Regionów i </w:t>
            </w:r>
            <w:r w:rsidR="008C4D9A">
              <w:rPr>
                <w:sz w:val="24"/>
                <w:szCs w:val="24"/>
              </w:rPr>
              <w:t>EUROCHAMBRES</w:t>
            </w:r>
            <w:r>
              <w:rPr>
                <w:sz w:val="24"/>
                <w:szCs w:val="24"/>
              </w:rPr>
              <w:t xml:space="preserve"> łączą siły, </w:t>
            </w:r>
          </w:p>
          <w:p w14:paraId="2D6B8DF7" w14:textId="77777777" w:rsidR="000001F7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aby zapewnić miejsca pracy i wzrost gospodarczy w całej UE</w:t>
            </w:r>
          </w:p>
          <w:p w14:paraId="12321812" w14:textId="77777777" w:rsidR="002C3F6F" w:rsidRPr="002C3F6F" w:rsidRDefault="002C3F6F" w:rsidP="002C3F6F"/>
        </w:tc>
      </w:tr>
      <w:tr w:rsidR="0022540B" w:rsidRPr="008431A9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3A0C24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8431A9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0A325823" w:rsidR="0075575F" w:rsidRPr="003A0C24" w:rsidRDefault="004868EA" w:rsidP="00A20542">
            <w:pPr>
              <w:rPr>
                <w:rStyle w:val="Strong"/>
                <w:color w:val="000000" w:themeColor="text1"/>
              </w:rPr>
            </w:pPr>
            <w:r>
              <w:rPr>
                <w:b/>
              </w:rPr>
              <w:t xml:space="preserve">Europejski Komitet Regionów (KR) i Stowarzyszenie Europejskich Izb Handlowo-Przemysłowych </w:t>
            </w:r>
            <w:r w:rsidR="008C4D9A">
              <w:rPr>
                <w:b/>
              </w:rPr>
              <w:t>EUROCHAMBRES</w:t>
            </w:r>
            <w:r>
              <w:rPr>
                <w:b/>
              </w:rPr>
              <w:t xml:space="preserve"> uzgodniły nowy </w:t>
            </w:r>
            <w:hyperlink r:id="rId14" w:history="1">
              <w:r>
                <w:rPr>
                  <w:rStyle w:val="Hyperlink"/>
                </w:rPr>
                <w:t>plan działania</w:t>
              </w:r>
            </w:hyperlink>
            <w:r>
              <w:rPr>
                <w:b/>
              </w:rPr>
              <w:t xml:space="preserve"> w celu wznowienia współpracy w kluczowych obszarach, by poprawić warunki prowadzenia działalności gospodarczej i ożywić regionalny rozwój gospodarczy.</w:t>
            </w:r>
          </w:p>
          <w:p w14:paraId="0F874C4D" w14:textId="77777777" w:rsidR="00831AA8" w:rsidRPr="003A0C24" w:rsidRDefault="00831AA8" w:rsidP="00A20542">
            <w:pPr>
              <w:rPr>
                <w:b/>
              </w:rPr>
            </w:pPr>
          </w:p>
        </w:tc>
      </w:tr>
      <w:tr w:rsidR="0022540B" w:rsidRPr="0005581C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6CA2C6E3" w:rsidR="004868EA" w:rsidRPr="004868EA" w:rsidRDefault="008770DA" w:rsidP="004868EA">
            <w:pPr>
              <w:rPr>
                <w:color w:val="000000" w:themeColor="text1"/>
              </w:rPr>
            </w:pPr>
            <w:hyperlink r:id="rId15" w:history="1">
              <w:r w:rsidR="004868EA">
                <w:rPr>
                  <w:rStyle w:val="Hyperlink"/>
                </w:rPr>
                <w:t>Plan działania</w:t>
              </w:r>
            </w:hyperlink>
            <w:r w:rsidR="004868EA">
              <w:t xml:space="preserve">, podpisany w Brukseli przez przewodniczącego Europejskiego Komitetu Regionów Karla-Heinza Lambertza i przewodniczącego </w:t>
            </w:r>
            <w:r w:rsidR="008C4D9A">
              <w:t>EUROCHAMBRES</w:t>
            </w:r>
            <w:r w:rsidR="004868EA">
              <w:t xml:space="preserve"> Christopha Leitla, określa obszary współpracy na lata 2019–2022 z myślą o przeciwdziałaniu bezrobociu młodzieży i niedopasowaniu umiejętności, stymulowaniu przedsiębiorczości, wzmacnianiu spójności i zwiększaniu konkurencyjności przemysłu.</w:t>
            </w:r>
          </w:p>
          <w:p w14:paraId="6D26EDFB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0984A3E2" w14:textId="4124C218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Przewodniczący </w:t>
            </w:r>
            <w:r w:rsidR="008C4D9A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Christoph Leitl</w:t>
            </w:r>
            <w:r>
              <w:rPr>
                <w:color w:val="000000" w:themeColor="text1"/>
              </w:rPr>
              <w:t xml:space="preserve"> stwierdził przy podpisywaniu planu: </w:t>
            </w:r>
            <w:r w:rsidR="008C4D9A">
              <w:rPr>
                <w:i/>
                <w:color w:val="000000" w:themeColor="text1"/>
              </w:rPr>
              <w:t>EUROCHAMBRES</w:t>
            </w:r>
            <w:r>
              <w:rPr>
                <w:i/>
                <w:color w:val="000000" w:themeColor="text1"/>
              </w:rPr>
              <w:t xml:space="preserve"> i</w:t>
            </w:r>
            <w:r w:rsidR="00652ADA">
              <w:rPr>
                <w:i/>
                <w:color w:val="000000" w:themeColor="text1"/>
              </w:rPr>
              <w:t> </w:t>
            </w:r>
            <w:r>
              <w:rPr>
                <w:i/>
                <w:color w:val="000000" w:themeColor="text1"/>
              </w:rPr>
              <w:t>Europejski Komitet Regionów są mocni siłą swoich sieci. Lokalne izby handlowo-przemysłowe i władze regionalne odgrywają zasadniczą rolę w osiąganiu postępu społeczno-gospodarczego w Europie na poziomie oddolnym. Współpraca naszych sieci sprawi, że będą w tym bardziej skuteczne. Nasz wspólny plan działania zapewni cenne ramy dla wzmocnienia takiej współpracy, a tym samym pobudzi wzrost gospodarczy w regionach i Europie.</w:t>
            </w:r>
          </w:p>
          <w:p w14:paraId="408FC595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669BAC9C" w14:textId="67352618" w:rsidR="004868EA" w:rsidRPr="004868EA" w:rsidRDefault="00FA15A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Przewodniczący KR-u </w:t>
            </w:r>
            <w:r>
              <w:rPr>
                <w:b/>
                <w:color w:val="000000" w:themeColor="text1"/>
              </w:rPr>
              <w:t>Karl-Heinz Lambertz</w:t>
            </w:r>
            <w:r>
              <w:rPr>
                <w:color w:val="000000" w:themeColor="text1"/>
              </w:rPr>
              <w:t xml:space="preserve"> dodał: </w:t>
            </w:r>
            <w:r>
              <w:rPr>
                <w:i/>
                <w:color w:val="000000" w:themeColor="text1"/>
              </w:rPr>
              <w:t>Współpraca, partnerstwo i transgraniczne współdziałanie na poziomie lokalnym to jedyny sposób na to, by UE tworzyła miejsca pracy, pobudzała wzrost gospodarczy, przeciwdziałała nierównościom i dbała o niepozostawianie nikogo w tyle.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Odnowienie partnerstwa z</w:t>
            </w:r>
            <w:r w:rsidR="00652ADA">
              <w:rPr>
                <w:i/>
                <w:color w:val="000000" w:themeColor="text1"/>
              </w:rPr>
              <w:t> </w:t>
            </w:r>
            <w:r w:rsidR="008C4D9A">
              <w:rPr>
                <w:i/>
                <w:color w:val="000000" w:themeColor="text1"/>
              </w:rPr>
              <w:t>EUROCHAMBRES</w:t>
            </w:r>
            <w:r>
              <w:rPr>
                <w:i/>
                <w:color w:val="000000" w:themeColor="text1"/>
              </w:rPr>
              <w:t xml:space="preserve"> oznacza współpracę przedsiębiorstw z lokalnymi i regionalnymi władzami z całej UE, co pozwoli nam dzielić się wiedzą, doświadczeniem i umiejętnościami, aby zwiększyć skuteczność UE i ożywiać inwestycje regionalne.</w:t>
            </w:r>
          </w:p>
          <w:p w14:paraId="7D39C172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2BBF3E62" w14:textId="04C731F9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planie działania KR-u i </w:t>
            </w:r>
            <w:r w:rsidR="008C4D9A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 xml:space="preserve"> na lata 2019–2022 przewidziano następujące obszary współpracy, które będą poddawane regularnemu przeglądowi przez cały okres realizacji:</w:t>
            </w:r>
          </w:p>
          <w:p w14:paraId="62C8F4C4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5262E1C3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wzmocniona współpraca w zakresie </w:t>
            </w:r>
            <w:r>
              <w:rPr>
                <w:color w:val="000000" w:themeColor="text1"/>
                <w:u w:val="single"/>
              </w:rPr>
              <w:t>prac legislacyjnych</w:t>
            </w:r>
            <w:r>
              <w:rPr>
                <w:color w:val="000000" w:themeColor="text1"/>
              </w:rPr>
              <w:t xml:space="preserve"> UE poprzez wzajemną prezentację stanowisk i analiz;</w:t>
            </w:r>
          </w:p>
          <w:p w14:paraId="367BD885" w14:textId="43EF41FC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przeciwdziałanie </w:t>
            </w:r>
            <w:r>
              <w:rPr>
                <w:color w:val="000000" w:themeColor="text1"/>
                <w:u w:val="single"/>
              </w:rPr>
              <w:t>bezrobociu młodzieży</w:t>
            </w:r>
            <w:r>
              <w:rPr>
                <w:color w:val="000000" w:themeColor="text1"/>
              </w:rPr>
              <w:t xml:space="preserve"> i </w:t>
            </w:r>
            <w:r>
              <w:rPr>
                <w:color w:val="000000" w:themeColor="text1"/>
                <w:u w:val="single"/>
              </w:rPr>
              <w:t>niedopasowaniu umiejętności</w:t>
            </w:r>
            <w:r>
              <w:rPr>
                <w:color w:val="000000" w:themeColor="text1"/>
              </w:rPr>
              <w:t xml:space="preserve"> poprzez wymianę innowacyjnych i</w:t>
            </w:r>
            <w:r w:rsidR="00652AD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najlepszych praktyk;</w:t>
            </w:r>
          </w:p>
          <w:p w14:paraId="482E489F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stymulowanie </w:t>
            </w:r>
            <w:r>
              <w:rPr>
                <w:u w:val="single"/>
              </w:rPr>
              <w:t>przedsiębiorczości</w:t>
            </w:r>
            <w:r>
              <w:t xml:space="preserve"> i </w:t>
            </w:r>
            <w:r>
              <w:rPr>
                <w:u w:val="single"/>
              </w:rPr>
              <w:t>polityki wobec MŚP</w:t>
            </w:r>
            <w:r>
              <w:t xml:space="preserve"> w drodze promocji programu </w:t>
            </w:r>
            <w:hyperlink r:id="rId16" w:history="1">
              <w:r>
                <w:rPr>
                  <w:rStyle w:val="Hyperlink"/>
                </w:rPr>
                <w:t>„Erasmus” dla młodych przedsiębiorców</w:t>
              </w:r>
            </w:hyperlink>
            <w:r>
              <w:t xml:space="preserve"> i sieci </w:t>
            </w:r>
            <w:hyperlink r:id="rId17" w:history="1">
              <w:r>
                <w:rPr>
                  <w:rStyle w:val="Hyperlink"/>
                </w:rPr>
                <w:t>Europejskich Regionów Przedsiębiorczości</w:t>
              </w:r>
            </w:hyperlink>
            <w:r>
              <w:t xml:space="preserve"> (ERP);</w:t>
            </w:r>
          </w:p>
          <w:p w14:paraId="32A4E197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propagowanie </w:t>
            </w:r>
            <w:r>
              <w:rPr>
                <w:u w:val="single"/>
              </w:rPr>
              <w:t>lepszego stanowienia prawa UE i wdrażania zasady pomocniczości</w:t>
            </w:r>
            <w:r>
              <w:t xml:space="preserve"> za pośrednictwem ocen oddziaływania terytorialnego i </w:t>
            </w:r>
            <w:hyperlink r:id="rId18" w:history="1">
              <w:r>
                <w:rPr>
                  <w:rStyle w:val="Hyperlink"/>
                </w:rPr>
                <w:t>inicjatywy dotyczącej centrów regionalnych</w:t>
              </w:r>
            </w:hyperlink>
            <w:r>
              <w:t>;</w:t>
            </w:r>
            <w:r>
              <w:rPr>
                <w:color w:val="000000" w:themeColor="text1"/>
              </w:rPr>
              <w:t xml:space="preserve"> </w:t>
            </w:r>
          </w:p>
          <w:p w14:paraId="7A6F31EC" w14:textId="77777777" w:rsidR="004868EA" w:rsidRPr="000B54BD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wspieranie </w:t>
            </w:r>
            <w:r>
              <w:rPr>
                <w:color w:val="000000" w:themeColor="text1"/>
                <w:u w:val="single"/>
              </w:rPr>
              <w:t>współpracy w krajach objętych europejską polityką sąsiedztwa</w:t>
            </w:r>
            <w:r>
              <w:rPr>
                <w:color w:val="000000" w:themeColor="text1"/>
              </w:rPr>
              <w:t xml:space="preserve"> poprzez inicjatywę na rzecz przedsiębiorczości ludzi młodych w śródziemnomorskich krajach partnerskich oraz rozpowszechnianie wśród władz lokalnych i regionalnych informacji na temat dostępu do finansowania;</w:t>
            </w:r>
          </w:p>
          <w:p w14:paraId="16DB234C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wzmacnianie </w:t>
            </w:r>
            <w:r>
              <w:rPr>
                <w:u w:val="single"/>
              </w:rPr>
              <w:t>polityki spójności</w:t>
            </w:r>
            <w:r>
              <w:t xml:space="preserve"> UE poprzez Sojusz na rzecz Spójności </w:t>
            </w:r>
            <w:hyperlink r:id="rId19" w:history="1">
              <w:r>
                <w:rPr>
                  <w:rStyle w:val="Hyperlink"/>
                </w:rPr>
                <w:t>#CohesionAlliance</w:t>
              </w:r>
            </w:hyperlink>
            <w:r>
              <w:t>;</w:t>
            </w:r>
          </w:p>
          <w:p w14:paraId="6FE5D81F" w14:textId="44AF8688" w:rsidR="00692D0E" w:rsidRPr="007B70E3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zwiększanie </w:t>
            </w:r>
            <w:r>
              <w:rPr>
                <w:u w:val="single"/>
              </w:rPr>
              <w:t xml:space="preserve">odporności terytorialnej </w:t>
            </w:r>
            <w:r>
              <w:t xml:space="preserve">poprzez prowadzenie wspólnych prac analitycznych na temat wpływu przyszłych stosunków handlowych UE27 – Zjednoczone Królestwo, konkurencyjności przemysłu na szczeblu regionalnym oraz gospodarczego, społecznego i terytorialnego rozwoju wysp za pośrednictwem </w:t>
            </w:r>
            <w:hyperlink r:id="rId20" w:history="1">
              <w:r>
                <w:rPr>
                  <w:rStyle w:val="Hyperlink"/>
                </w:rPr>
                <w:t>sieci izb INSULEUR</w:t>
              </w:r>
            </w:hyperlink>
            <w:r>
              <w:t>.</w:t>
            </w:r>
          </w:p>
          <w:p w14:paraId="5FA12255" w14:textId="77777777" w:rsidR="00AD07B8" w:rsidRPr="00730560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FA15AA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Kontakt: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05581C" w14:paraId="4EDA7B3B" w14:textId="77777777" w:rsidTr="00932C1B">
              <w:tc>
                <w:tcPr>
                  <w:tcW w:w="5241" w:type="dxa"/>
                </w:tcPr>
                <w:p w14:paraId="2EB6685E" w14:textId="74236846" w:rsidR="00FA15AA" w:rsidRPr="00FA15A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Europejski Komitet Regionów</w:t>
                  </w:r>
                  <w:r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05581C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tel.: +32 (0)2 282 2366</w:t>
                  </w:r>
                </w:p>
                <w:p w14:paraId="2C0DE17B" w14:textId="4ACC2C12" w:rsidR="00FA15AA" w:rsidRPr="0005581C" w:rsidRDefault="008770DA" w:rsidP="00FA15AA">
                  <w:pPr>
                    <w:jc w:val="left"/>
                    <w:rPr>
                      <w:b/>
                      <w:color w:val="F59A00"/>
                    </w:rPr>
                  </w:pPr>
                  <w:hyperlink r:id="rId21" w:history="1">
                    <w:r w:rsidR="00694305">
                      <w:rPr>
                        <w:rStyle w:val="Hyperlink"/>
                      </w:rPr>
                      <w:t>Carmen.Schmidle@cor.europa.eu</w:t>
                    </w:r>
                  </w:hyperlink>
                  <w:r w:rsidR="00694305"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47C7ADD7" w:rsidR="00FA15AA" w:rsidRPr="0005581C" w:rsidRDefault="008C4D9A" w:rsidP="00FA15AA">
                  <w:pPr>
                    <w:jc w:val="left"/>
                  </w:pPr>
                  <w:r>
                    <w:t>EUROCHAMBRES</w:t>
                  </w:r>
                </w:p>
                <w:p w14:paraId="79C5BAB3" w14:textId="77777777" w:rsidR="00FA15AA" w:rsidRPr="0005581C" w:rsidRDefault="00FA15AA" w:rsidP="00FA15AA">
                  <w:pPr>
                    <w:jc w:val="left"/>
                  </w:pPr>
                  <w:r>
                    <w:t>Luis Piselli</w:t>
                  </w:r>
                </w:p>
                <w:p w14:paraId="299210AC" w14:textId="77777777" w:rsidR="00FA15AA" w:rsidRPr="0005581C" w:rsidRDefault="00FA15AA" w:rsidP="00FA15AA">
                  <w:pPr>
                    <w:jc w:val="left"/>
                  </w:pPr>
                  <w:r>
                    <w:t>tel.: +32 (0)2 282 0592</w:t>
                  </w:r>
                </w:p>
                <w:p w14:paraId="2B900347" w14:textId="291EC061" w:rsidR="00FA15AA" w:rsidRPr="0005581C" w:rsidRDefault="008770DA" w:rsidP="00FA15AA">
                  <w:pPr>
                    <w:jc w:val="left"/>
                  </w:pPr>
                  <w:hyperlink r:id="rId22" w:history="1">
                    <w:r w:rsidR="00694305">
                      <w:rPr>
                        <w:rStyle w:val="Hyperlink"/>
                      </w:rPr>
                      <w:t>piselli@</w:t>
                    </w:r>
                    <w:bookmarkStart w:id="0" w:name="_GoBack"/>
                    <w:r>
                      <w:rPr>
                        <w:rStyle w:val="Hyperlink"/>
                      </w:rPr>
                      <w:t>eurochambres</w:t>
                    </w:r>
                    <w:bookmarkEnd w:id="0"/>
                    <w:r w:rsidR="00694305">
                      <w:rPr>
                        <w:rStyle w:val="Hyperlink"/>
                      </w:rPr>
                      <w:t>.eu</w:t>
                    </w:r>
                  </w:hyperlink>
                  <w:r w:rsidR="00694305">
                    <w:t xml:space="preserve"> </w:t>
                  </w:r>
                </w:p>
              </w:tc>
            </w:tr>
          </w:tbl>
          <w:p w14:paraId="4D9762E8" w14:textId="77777777" w:rsidR="005209B9" w:rsidRPr="0005581C" w:rsidRDefault="005209B9" w:rsidP="00FA15AA">
            <w:pPr>
              <w:jc w:val="left"/>
              <w:rPr>
                <w:lang w:val="fr-BE"/>
              </w:rPr>
            </w:pPr>
          </w:p>
        </w:tc>
      </w:tr>
      <w:tr w:rsidR="0022540B" w:rsidRPr="008431A9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00D1F" w14:textId="77777777" w:rsidR="00902438" w:rsidRPr="008431A9" w:rsidRDefault="00902438" w:rsidP="00A20542">
            <w:pPr>
              <w:rPr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0744AB0" w14:textId="77777777" w:rsidR="0065582D" w:rsidRPr="008431A9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E130E7" w:rsidRDefault="00153458" w:rsidP="00A205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Europejski Komitet Regionów</w:t>
            </w:r>
          </w:p>
          <w:p w14:paraId="301C602D" w14:textId="77777777" w:rsidR="0065582D" w:rsidRPr="00E130E7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77777777" w:rsidR="000001F7" w:rsidRPr="008431A9" w:rsidRDefault="00153458" w:rsidP="0047627E">
            <w:pPr>
              <w:jc w:val="left"/>
            </w:pPr>
            <w:r>
              <w:rPr>
                <w:sz w:val="16"/>
                <w:szCs w:val="16"/>
              </w:rPr>
              <w:t>Europejski Komitet Regionów jest zgromadzeniem przedstawicieli samorządów regionalnych i lokalnych UE ze wszystkich 28 państw członkowskich. Został utworzony w 1994 r. w następstwie podpisania traktatu z Maastricht, a jego misją jest włączenie samorządów regionalnych i lokalnych w proces decyzyjny UE oraz informowanie ich o strategiach politycznych UE. Parlament Europejski, Rada i Komisja Europejska zasięgają opinii Komitetu odnośnie do dziedzin polityki mających wpływ na regiony i miasta. Aby zasiadać w Europejskim Komitecie Regionów, każdy z jego 350 członków i 350 zastępców członków musi posiadać mandat wyborczy lub być politycznie odpowiedzialny przed wybranym zgromadzeniem w swoim regionie lub mieście. Szczegółowe informacje na temat delegacji krajowych można znaleźć</w:t>
            </w:r>
            <w:r>
              <w:t xml:space="preserve"> </w:t>
            </w:r>
            <w:hyperlink r:id="rId35" w:tgtFrame="_blank" w:history="1">
              <w:r>
                <w:rPr>
                  <w:rStyle w:val="Hyperlink"/>
                  <w:sz w:val="16"/>
                  <w:szCs w:val="16"/>
                </w:rPr>
                <w:t>tutaj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  <w:tr w:rsidR="0022540B" w:rsidRPr="008431A9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01C4C21" w14:textId="05BF4ECB" w:rsidR="002F3AB6" w:rsidRPr="00E130E7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lastRenderedPageBreak/>
              <w:t>Państwa dane osobowe są przetwarzane zgodnie z wymogami rozporządzenia (WE) nr 45/2001 o ochro</w:t>
            </w:r>
            <w:r w:rsidR="000A669F">
              <w:rPr>
                <w:color w:val="FFFFFF" w:themeColor="background1"/>
                <w:sz w:val="16"/>
                <w:szCs w:val="16"/>
              </w:rPr>
              <w:t>nie osób fizycznych w związku z </w:t>
            </w:r>
            <w:r>
              <w:rPr>
                <w:color w:val="FFFFFF" w:themeColor="background1"/>
                <w:sz w:val="16"/>
                <w:szCs w:val="16"/>
              </w:rPr>
              <w:t>przetwarzaniem danych osobowych przez instytucje i organy UE. Mogą Państwo złożyć wniosek o wgląd w swoje dane osobowe, sprostowanie nieprawidłowych czy niekompletnych danych lub zwrócić się o usunięcie Państwa danych z naszej listy adresowej.</w:t>
            </w:r>
          </w:p>
          <w:p w14:paraId="78A15026" w14:textId="77777777" w:rsidR="0065582D" w:rsidRPr="00E130E7" w:rsidRDefault="0065582D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  <w:p w14:paraId="173E845C" w14:textId="77777777" w:rsidR="000A669F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Wszelkie pytania dotyczące przetwarzania Państwa danych osobowych mogą Państwo kierować na adres </w:t>
            </w:r>
            <w:hyperlink r:id="rId36" w:tgtFrame="_blank" w:history="1">
              <w:r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 w:rsidRPr="000A669F">
              <w:rPr>
                <w:color w:val="FFFFFF" w:themeColor="background1"/>
              </w:rPr>
              <w:t>.</w:t>
            </w:r>
            <w:r w:rsidRPr="000A669F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4880398B" w14:textId="77777777" w:rsidR="000A669F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Można także kierować zapytania do inspektora ochrony danych osobowych KR-u: </w:t>
            </w:r>
            <w:hyperlink r:id="rId37" w:tgtFrame="_blank" w:history="1">
              <w:r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 w:rsidRPr="000A669F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5F8CAA8E" w14:textId="7A2C56AB" w:rsidR="000001F7" w:rsidRPr="008431A9" w:rsidRDefault="002F3AB6" w:rsidP="00F34BC0">
            <w:pPr>
              <w:jc w:val="left"/>
            </w:pPr>
            <w:r>
              <w:rPr>
                <w:color w:val="FFFFFF" w:themeColor="background1"/>
                <w:sz w:val="16"/>
                <w:szCs w:val="16"/>
              </w:rPr>
              <w:t>W sprawach związanych z przetwarzaniem danych osobowych można także w każdej chwili odwołać się do Europejskiego Inspektora Ochrony Danych:</w:t>
            </w:r>
            <w:r>
              <w:t xml:space="preserve"> </w:t>
            </w:r>
            <w:hyperlink r:id="rId38" w:tgtFrame="_blank" w:history="1">
              <w:r>
                <w:rPr>
                  <w:rStyle w:val="Hyperlink"/>
                  <w:sz w:val="16"/>
                  <w:szCs w:val="16"/>
                </w:rPr>
                <w:t>http://www.edps.europa.eu/EDPSWEB</w:t>
              </w:r>
            </w:hyperlink>
            <w:r w:rsidRPr="000A669F">
              <w:rPr>
                <w:color w:val="FFFFFF" w:themeColor="background1"/>
              </w:rPr>
              <w:t>.</w:t>
            </w:r>
          </w:p>
        </w:tc>
      </w:tr>
    </w:tbl>
    <w:p w14:paraId="3C00A269" w14:textId="77777777" w:rsidR="00D200A9" w:rsidRPr="008431A9" w:rsidRDefault="00D200A9" w:rsidP="00A20542"/>
    <w:sectPr w:rsidR="00D200A9" w:rsidRPr="008431A9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7847"/>
    <w:rsid w:val="000A669F"/>
    <w:rsid w:val="000B54BD"/>
    <w:rsid w:val="000D3D76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A48CA"/>
    <w:rsid w:val="001F1DB2"/>
    <w:rsid w:val="0022540B"/>
    <w:rsid w:val="00241D41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5E3"/>
    <w:rsid w:val="003A3A94"/>
    <w:rsid w:val="003A5AF1"/>
    <w:rsid w:val="003A78D0"/>
    <w:rsid w:val="00407EF8"/>
    <w:rsid w:val="0042081C"/>
    <w:rsid w:val="00422252"/>
    <w:rsid w:val="00441FEC"/>
    <w:rsid w:val="0047627E"/>
    <w:rsid w:val="0048106C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E77A5"/>
    <w:rsid w:val="005F1E5E"/>
    <w:rsid w:val="00603986"/>
    <w:rsid w:val="00642273"/>
    <w:rsid w:val="00652ADA"/>
    <w:rsid w:val="0065582D"/>
    <w:rsid w:val="00671F02"/>
    <w:rsid w:val="00692D0E"/>
    <w:rsid w:val="00694305"/>
    <w:rsid w:val="006C1BCD"/>
    <w:rsid w:val="006E0D94"/>
    <w:rsid w:val="006F3336"/>
    <w:rsid w:val="006F62BB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31A9"/>
    <w:rsid w:val="0084521B"/>
    <w:rsid w:val="00860B25"/>
    <w:rsid w:val="0087539B"/>
    <w:rsid w:val="008770DA"/>
    <w:rsid w:val="00881D72"/>
    <w:rsid w:val="008838D3"/>
    <w:rsid w:val="008A7587"/>
    <w:rsid w:val="008C26BE"/>
    <w:rsid w:val="008C4D9A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904DC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1491A"/>
    <w:rsid w:val="00D200A9"/>
    <w:rsid w:val="00D53777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624DB2DA"/>
  <w15:docId w15:val="{199C069F-239B-46A6-9B1B-12E6504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r.europa.eu/pl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cor.europa.eu/pl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pl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pl/members/Pages/national-delegations.aspx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NVCDSECZW5MX-1175273858-2663</_dlc_DocId>
    <_dlc_DocIdUrl xmlns="857bdf61-ef81-4463-9c7c-83f2607ad7f5">
      <Url>http://dm2016/cor/2019/_layouts/15/DocIdRedir.aspx?ID=NVCDSECZW5MX-1175273858-2663</Url>
      <Description>NVCDSECZW5MX-1175273858-2663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FD6FDD-9160-4119-BB79-84855349D2E3}">
  <ds:schemaRefs>
    <ds:schemaRef ds:uri="http://schemas.microsoft.com/office/2006/metadata/properties"/>
    <ds:schemaRef ds:uri="fc595562-56b4-4ae0-a20d-574034cbb7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857bdf61-ef81-4463-9c7c-83f2607ad7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4FF01-27E1-49E4-B102-492ACE4185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F82EF2-FDD3-4BA9-8ECE-0A7F3E6EB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649DC0-DA75-4D78-B677-D75137C8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Europejski Komitet Regionów i EUROCHAMBRES łączą siły, aby zapewnić miejsca pracy i wzrost gospodarczy w całej UE</vt:lpstr>
    </vt:vector>
  </TitlesOfParts>
  <Company>CESE-CdR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Europejski Komitet Regionów i EUROCHAMBRES łączą siły, aby zapewnić miejsca pracy i wzrost gospodarczy w całej UE</dc:title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Luis PISELLI</cp:lastModifiedBy>
  <cp:revision>4</cp:revision>
  <cp:lastPrinted>2017-01-17T15:28:00Z</cp:lastPrinted>
  <dcterms:created xsi:type="dcterms:W3CDTF">2019-04-08T17:22:00Z</dcterms:created>
  <dcterms:modified xsi:type="dcterms:W3CDTF">2019-04-09T12:13:00Z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mkop, jhvi, tvoc</vt:lpwstr>
  </property>
  <property fmtid="{D5CDD505-2E9C-101B-9397-08002B2CF9AE}" pid="3" name="Pref_FileName">
    <vt:lpwstr>COR-2019-01818-00-01-CP-ORI.docx, COR-2019-01818-00-00-CP-ORI.docx, COR-2016-06462-00-00-WEB-ORI.docx</vt:lpwstr>
  </property>
  <property fmtid="{D5CDD505-2E9C-101B-9397-08002B2CF9AE}" pid="4" name="Pref_Date">
    <vt:lpwstr>08/04/2019, 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11:31:34, 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7025d826-e9ef-45e4-a89f-8d1cf96cb6c5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PT|50ccc04a-eadd-42ae-a0cb-acaf45f812ba;LT|a7ff5ce7-6123-4f68-865a-a57c31810414;ET|ff6c3f4c-b02c-4c3c-ab07-2c37995a7a0a;RO|feb747a2-64cd-4299-af12-4833ddc30497;DA|5d49c027-8956-412b-aa16-e85a0f96ad0e;NL|55c6556c-b4f4-441d-9acf-c498d4f838bd;HR|2f555653-ed1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48;#CP|de8ad211-9e8d-408b-8324-674d21bb7d18;#40;#HU|6b229040-c589-4408-b4c1-4285663d20a8;#38;#ET|ff6c3f4c-b02c-4c3c-ab07-2c37995a7a0a;#37;#MT|7df99101-6854-4a26-b53a-b88c0da02c26;#36;#PT|50ccc04a-eadd-42ae-a0cb-acaf45f812ba;#35;#BG|1a1b3951-7821-4e6a-85f5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18;#PL|1e03da61-4678-4e07-b136-b5024ca9197b</vt:lpwstr>
  </property>
</Properties>
</file>